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54680">
      <w:pPr>
        <w:pStyle w:val="12"/>
        <w:numPr>
          <w:ilvl w:val="0"/>
          <w:numId w:val="0"/>
        </w:numPr>
        <w:spacing w:before="156" w:beforeLines="50" w:after="156" w:afterLines="50" w:line="440" w:lineRule="exact"/>
        <w:ind w:firstLine="2640" w:firstLineChars="600"/>
        <w:jc w:val="both"/>
        <w:textAlignment w:val="baseline"/>
        <w:rPr>
          <w:rFonts w:ascii="仿宋" w:hAnsi="仿宋" w:eastAsia="仿宋" w:cs="仿宋"/>
          <w:bCs/>
          <w:color w:val="000000" w:themeColor="text1"/>
          <w:sz w:val="44"/>
          <w:szCs w:val="21"/>
          <w:highlight w:val="none"/>
          <w14:textFill>
            <w14:solidFill>
              <w14:schemeClr w14:val="tx1"/>
            </w14:solidFill>
          </w14:textFill>
        </w:rPr>
      </w:pPr>
      <w:bookmarkStart w:id="4" w:name="_GoBack"/>
      <w:bookmarkEnd w:id="4"/>
      <w:r>
        <w:rPr>
          <w:rFonts w:hint="eastAsia" w:ascii="仿宋" w:hAnsi="仿宋" w:eastAsia="仿宋" w:cs="仿宋"/>
          <w:bCs/>
          <w:color w:val="000000" w:themeColor="text1"/>
          <w:sz w:val="44"/>
          <w:szCs w:val="21"/>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44"/>
          <w:szCs w:val="21"/>
          <w:highlight w:val="none"/>
          <w14:textFill>
            <w14:solidFill>
              <w14:schemeClr w14:val="tx1"/>
            </w14:solidFill>
          </w14:textFill>
        </w:rPr>
        <w:t>采购需求</w:t>
      </w:r>
    </w:p>
    <w:p w14:paraId="122BDB75">
      <w:pPr>
        <w:spacing w:before="120" w:after="120" w:line="0" w:lineRule="atLeast"/>
        <w:jc w:val="left"/>
        <w:rPr>
          <w:rFonts w:ascii="宋体" w:hAnsi="宋体" w:cs="宋体"/>
          <w:b/>
          <w:bCs/>
          <w:color w:val="000000" w:themeColor="text1"/>
          <w:sz w:val="24"/>
          <w:szCs w:val="24"/>
          <w:highlight w:val="none"/>
          <w14:textFill>
            <w14:solidFill>
              <w14:schemeClr w14:val="tx1"/>
            </w14:solidFill>
          </w14:textFill>
        </w:rPr>
      </w:pPr>
    </w:p>
    <w:p w14:paraId="32B64FC6">
      <w:pPr>
        <w:spacing w:before="120" w:after="120" w:line="0" w:lineRule="atLeast"/>
        <w:jc w:val="left"/>
        <w:rPr>
          <w:rFonts w:eastAsia="仿宋"/>
          <w:b/>
          <w:bCs/>
          <w:color w:val="000000" w:themeColor="text1"/>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采购标的清单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349"/>
        <w:gridCol w:w="2836"/>
      </w:tblGrid>
      <w:tr w14:paraId="5AC9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96" w:type="dxa"/>
            <w:vAlign w:val="center"/>
          </w:tcPr>
          <w:p w14:paraId="4252098A">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采购包</w:t>
            </w:r>
          </w:p>
        </w:tc>
        <w:tc>
          <w:tcPr>
            <w:tcW w:w="4590" w:type="dxa"/>
            <w:vAlign w:val="center"/>
          </w:tcPr>
          <w:p w14:paraId="0543B26C">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采购标的</w:t>
            </w:r>
          </w:p>
        </w:tc>
        <w:tc>
          <w:tcPr>
            <w:tcW w:w="2993" w:type="dxa"/>
            <w:vAlign w:val="center"/>
          </w:tcPr>
          <w:p w14:paraId="2AA0BC3D">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对应中小企业划分标准所属行业</w:t>
            </w:r>
          </w:p>
        </w:tc>
      </w:tr>
      <w:tr w14:paraId="2DE8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96" w:type="dxa"/>
            <w:vAlign w:val="center"/>
          </w:tcPr>
          <w:p w14:paraId="2F2FD184">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590" w:type="dxa"/>
            <w:vAlign w:val="center"/>
          </w:tcPr>
          <w:p w14:paraId="45BB174F">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泗洪县2025年重大项目征地报批技术服务采购项目采购包1</w:t>
            </w:r>
          </w:p>
        </w:tc>
        <w:tc>
          <w:tcPr>
            <w:tcW w:w="2993" w:type="dxa"/>
            <w:vAlign w:val="center"/>
          </w:tcPr>
          <w:p w14:paraId="5F4B4A34">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其他未列明行业</w:t>
            </w:r>
          </w:p>
        </w:tc>
      </w:tr>
      <w:tr w14:paraId="548F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96" w:type="dxa"/>
            <w:vAlign w:val="center"/>
          </w:tcPr>
          <w:p w14:paraId="0EC80A05">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590" w:type="dxa"/>
            <w:vAlign w:val="center"/>
          </w:tcPr>
          <w:p w14:paraId="58860C4B">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泗洪县2025年重大项目征地报批技术服务采购项目采购包2</w:t>
            </w:r>
          </w:p>
        </w:tc>
        <w:tc>
          <w:tcPr>
            <w:tcW w:w="2993" w:type="dxa"/>
            <w:vAlign w:val="center"/>
          </w:tcPr>
          <w:p w14:paraId="236BF5C5">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其他未列明行业</w:t>
            </w:r>
          </w:p>
        </w:tc>
      </w:tr>
    </w:tbl>
    <w:p w14:paraId="4487FDF1">
      <w:pPr>
        <w:pStyle w:val="12"/>
        <w:spacing w:before="156" w:beforeLines="50" w:after="156" w:afterLines="50" w:line="440" w:lineRule="exact"/>
        <w:textAlignment w:val="baseline"/>
        <w:rPr>
          <w:rFonts w:ascii="仿宋" w:hAnsi="仿宋" w:eastAsia="仿宋" w:cs="仿宋"/>
          <w:bCs/>
          <w:color w:val="000000" w:themeColor="text1"/>
          <w:sz w:val="44"/>
          <w:szCs w:val="21"/>
          <w:highlight w:val="none"/>
          <w14:textFill>
            <w14:solidFill>
              <w14:schemeClr w14:val="tx1"/>
            </w14:solidFill>
          </w14:textFill>
        </w:rPr>
      </w:pPr>
    </w:p>
    <w:p w14:paraId="0536CCA2">
      <w:pPr>
        <w:tabs>
          <w:tab w:val="left" w:pos="420"/>
          <w:tab w:val="left" w:pos="540"/>
        </w:tabs>
        <w:overflowPunct w:val="0"/>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一、项目概况及要求</w:t>
      </w:r>
    </w:p>
    <w:p w14:paraId="5F674C60">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（一）、项目名称</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：泗洪县2025年重大项目征地报批技术服务采购项目</w:t>
      </w:r>
    </w:p>
    <w:p w14:paraId="68B1EAB5">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（二）、项目地点</w:t>
      </w:r>
      <w:r>
        <w:rPr>
          <w:rFonts w:hint="eastAsia" w:ascii="仿宋" w:hAnsi="仿宋" w:eastAsia="仿宋" w:cs="仿宋"/>
          <w:color w:val="000000" w:themeColor="text1"/>
          <w:sz w:val="24"/>
          <w:highlight w:val="none"/>
          <w14:textFill>
            <w14:solidFill>
              <w14:schemeClr w14:val="tx1"/>
            </w14:solidFill>
          </w14:textFill>
        </w:rPr>
        <w:t>：采购人指定地点</w:t>
      </w:r>
    </w:p>
    <w:p w14:paraId="6BA3D65C">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（三）、合同履行期限：</w:t>
      </w:r>
      <w:r>
        <w:rPr>
          <w:rFonts w:hint="eastAsia" w:ascii="仿宋" w:hAnsi="仿宋" w:eastAsia="仿宋" w:cs="仿宋"/>
          <w:color w:val="000000" w:themeColor="text1"/>
          <w:sz w:val="24"/>
          <w:highlight w:val="none"/>
          <w14:textFill>
            <w14:solidFill>
              <w14:schemeClr w14:val="tx1"/>
            </w14:solidFill>
          </w14:textFill>
        </w:rPr>
        <w:t>自合同签订后1年内完成（各个批次具体完成时间按照上级主管部门及泗洪县自然资源和规划局部署要求适时调整。）</w:t>
      </w:r>
    </w:p>
    <w:p w14:paraId="67FC603F">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注：经甲方同意可以延长，如果甲方需要提前结束项目的，可以跟乙方协商变更编制工作进程，如因政策原因导致方案名称和年份发生变化，合同继续执行。</w:t>
      </w:r>
    </w:p>
    <w:p w14:paraId="65E2FF15">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（四）、付款方式：</w:t>
      </w:r>
      <w:bookmarkStart w:id="0" w:name="EB120ac03ab710494bb42e662066a04c8d"/>
      <w:r>
        <w:rPr>
          <w:rStyle w:val="13"/>
          <w:rFonts w:hint="eastAsia" w:ascii="仿宋" w:hAnsi="仿宋" w:eastAsia="仿宋" w:cs="仿宋"/>
          <w:color w:val="000000" w:themeColor="text1"/>
          <w:sz w:val="24"/>
          <w:highlight w:val="none"/>
          <w14:textFill>
            <w14:solidFill>
              <w14:schemeClr w14:val="tx1"/>
            </w14:solidFill>
          </w14:textFill>
        </w:rPr>
        <w:t xml:space="preserve"> 按照以下确定的付款方式，采购人及时办理付款手续。对于满足合同约定支付条件的，自收到发票后10个工作日内将资金支付到合同约定的供应商账户或供应商数字人民币账户。</w:t>
      </w:r>
    </w:p>
    <w:p w14:paraId="53F5B621">
      <w:pPr>
        <w:spacing w:line="360" w:lineRule="auto"/>
        <w:ind w:firstLine="482" w:firstLineChars="200"/>
        <w:rPr>
          <w:rStyle w:val="13"/>
          <w:rFonts w:ascii="仿宋" w:hAnsi="仿宋" w:eastAsia="仿宋" w:cs="仿宋"/>
          <w:b/>
          <w:bCs/>
          <w:color w:val="000000" w:themeColor="text1"/>
          <w:sz w:val="24"/>
          <w:highlight w:val="none"/>
          <w14:textFill>
            <w14:solidFill>
              <w14:schemeClr w14:val="tx1"/>
            </w14:solidFill>
          </w14:textFill>
        </w:rPr>
      </w:pPr>
      <w:r>
        <w:rPr>
          <w:rStyle w:val="13"/>
          <w:rFonts w:hint="eastAsia" w:ascii="仿宋" w:hAnsi="仿宋" w:eastAsia="仿宋" w:cs="仿宋"/>
          <w:b/>
          <w:bCs/>
          <w:color w:val="000000" w:themeColor="text1"/>
          <w:sz w:val="24"/>
          <w:highlight w:val="none"/>
          <w14:textFill>
            <w14:solidFill>
              <w14:schemeClr w14:val="tx1"/>
            </w14:solidFill>
          </w14:textFill>
        </w:rPr>
        <w:t>预付款：合同金额的 10 %，合同签订后按规定支付；</w:t>
      </w:r>
    </w:p>
    <w:p w14:paraId="30B16D8D">
      <w:pPr>
        <w:spacing w:line="360" w:lineRule="auto"/>
        <w:ind w:firstLine="480"/>
        <w:rPr>
          <w:rStyle w:val="13"/>
          <w:rFonts w:ascii="仿宋" w:hAnsi="仿宋" w:eastAsia="仿宋" w:cs="仿宋"/>
          <w:b/>
          <w:bCs/>
          <w:color w:val="000000" w:themeColor="text1"/>
          <w:sz w:val="24"/>
          <w:highlight w:val="none"/>
          <w14:textFill>
            <w14:solidFill>
              <w14:schemeClr w14:val="tx1"/>
            </w14:solidFill>
          </w14:textFill>
        </w:rPr>
      </w:pPr>
      <w:r>
        <w:rPr>
          <w:rStyle w:val="13"/>
          <w:rFonts w:hint="eastAsia" w:ascii="仿宋" w:hAnsi="仿宋" w:eastAsia="仿宋" w:cs="仿宋"/>
          <w:b/>
          <w:bCs/>
          <w:color w:val="000000" w:themeColor="text1"/>
          <w:sz w:val="24"/>
          <w:highlight w:val="none"/>
          <w14:textFill>
            <w14:solidFill>
              <w14:schemeClr w14:val="tx1"/>
            </w14:solidFill>
          </w14:textFill>
        </w:rPr>
        <w:t>进度款：</w:t>
      </w:r>
      <w:r>
        <w:rPr>
          <w:rFonts w:hint="eastAsia" w:ascii="仿宋" w:hAnsi="仿宋" w:eastAsia="仿宋" w:cs="仿宋"/>
          <w:b/>
          <w:bCs/>
          <w:color w:val="000000" w:themeColor="text1"/>
          <w:sz w:val="24"/>
          <w:highlight w:val="none"/>
          <w14:textFill>
            <w14:solidFill>
              <w14:schemeClr w14:val="tx1"/>
            </w14:solidFill>
          </w14:textFill>
        </w:rPr>
        <w:t>用地报批材料完成并上报主管部门取得用地批复后，甲方一次性付清余款（无息）。</w:t>
      </w:r>
    </w:p>
    <w:p w14:paraId="58C6C62A">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w:t>
      </w:r>
      <w:r>
        <w:rPr>
          <w:rStyle w:val="13"/>
          <w:rFonts w:hint="eastAsia" w:ascii="仿宋" w:hAnsi="仿宋" w:eastAsia="仿宋" w:cs="仿宋"/>
          <w:color w:val="000000" w:themeColor="text1"/>
          <w:sz w:val="24"/>
          <w:highlight w:val="none"/>
          <w14:textFill>
            <w14:solidFill>
              <w14:schemeClr w14:val="tx1"/>
            </w14:solidFill>
          </w14:textFill>
        </w:rPr>
        <w:t>1.在签订合同时，中标人明确表示无需预付款或者主动要求降低预付款比例的金额，采购人可不适用预付款规定。</w:t>
      </w:r>
    </w:p>
    <w:p w14:paraId="28EBEA8B">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2.本项目最终根据中标单价*实际完成报批数量并结合考核结果进行支付。</w:t>
      </w:r>
    </w:p>
    <w:p w14:paraId="75C177D5">
      <w:pPr>
        <w:spacing w:line="360" w:lineRule="auto"/>
        <w:ind w:firstLine="480"/>
        <w:rPr>
          <w:rFonts w:ascii="仿宋_GB2312" w:hAnsi="仿宋_GB2312" w:eastAsia="仿宋_GB2312" w:cs="仿宋_GB2312"/>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3.合同款可以采用数字人民币方式进行支付。</w:t>
      </w:r>
    </w:p>
    <w:p w14:paraId="5A577754">
      <w:pPr>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4.乙方未按要求提供符合要求的发票的，甲方有权暂停付款，且不免除乙方继续履行合同约定的义务。</w:t>
      </w:r>
      <w:bookmarkEnd w:id="0"/>
    </w:p>
    <w:p w14:paraId="7FAE1D84">
      <w:pPr>
        <w:spacing w:line="360" w:lineRule="auto"/>
        <w:ind w:left="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（五）服务质量要求：</w:t>
      </w:r>
      <w:r>
        <w:rPr>
          <w:rFonts w:hint="eastAsia" w:ascii="仿宋" w:hAnsi="仿宋" w:eastAsia="仿宋" w:cs="仿宋"/>
          <w:color w:val="000000" w:themeColor="text1"/>
          <w:sz w:val="24"/>
          <w:highlight w:val="none"/>
          <w14:textFill>
            <w14:solidFill>
              <w14:schemeClr w14:val="tx1"/>
            </w14:solidFill>
          </w14:textFill>
        </w:rPr>
        <w:t>合格（符合国家、省、市有关法律、法规及审查要求）</w:t>
      </w:r>
    </w:p>
    <w:p w14:paraId="0511B66F">
      <w:pPr>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二、工作内容</w:t>
      </w:r>
      <w:r>
        <w:rPr>
          <w:rFonts w:hint="eastAsia" w:ascii="仿宋" w:hAnsi="仿宋" w:eastAsia="仿宋" w:cs="仿宋"/>
          <w:b/>
          <w:bCs/>
          <w:color w:val="000000" w:themeColor="text1"/>
          <w:sz w:val="24"/>
          <w:szCs w:val="24"/>
          <w:highlight w:val="none"/>
          <w14:textFill>
            <w14:solidFill>
              <w14:schemeClr w14:val="tx1"/>
            </w14:solidFill>
          </w14:textFill>
        </w:rPr>
        <w:t>（包括但不限于）：</w:t>
      </w:r>
    </w:p>
    <w:p w14:paraId="723C48C0">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梳理并检查已收集整理的用地报批资料，对资料的合法合规性进行检查。资料包括但不限于：征前资料、建设用地项目呈报材料“一方案三信息”、人社审核材料、安置人员情况表等，拟定县级、市级相关请示文件及审查报告；</w:t>
      </w:r>
    </w:p>
    <w:p w14:paraId="0B4D4106">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通过大数据库系统的二调、三调、国土空间规划、大运河核心监控区、生态空间管控区、生态保护红线、“三区三线”、增减挂钩数据库、复垦项目库等数据库核定用地范围红线，退地类形成权属、地类数据；</w:t>
      </w:r>
    </w:p>
    <w:p w14:paraId="11A29F13">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（3）核对征地社会稳定性风险评估备案情况和报告内容的数据、时间逻辑性、是否充分征求被征地农民意见等；</w:t>
      </w:r>
    </w:p>
    <w:p w14:paraId="26482D05">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（4）配合县资规局做好核对乡镇提供的现状调查材料、安置人员情况表、土地所有权协议、使用权三方协议、社保协议等材料的完整性、前后逻辑一致性。汇总材料，拟定征地补偿协议签订情况说明及附表； </w:t>
      </w:r>
    </w:p>
    <w:p w14:paraId="314BF3C0">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（5）根据</w:t>
      </w:r>
      <w:bookmarkStart w:id="1" w:name="OLE_LINK1"/>
      <w:r>
        <w:rPr>
          <w:rFonts w:hint="eastAsia" w:ascii="仿宋" w:hAnsi="仿宋" w:eastAsia="仿宋" w:cs="仿宋"/>
          <w:color w:val="000000" w:themeColor="text1"/>
          <w:sz w:val="24"/>
          <w:szCs w:val="24"/>
          <w:highlight w:val="none"/>
          <w14:textFill>
            <w14:solidFill>
              <w14:schemeClr w14:val="tx1"/>
            </w14:solidFill>
          </w14:textFill>
        </w:rPr>
        <w:t>《自然资源部关于进一步做好用地用海要素保障的通知》（自然资发〔2023〕89号）、《江苏省人民政府关于印发江苏省被征地农民社会保障办法的通知》（苏政发〔2021〕87号文）、《自然资源部办公厅关于进一步规范建设用地报批文本格式的函》（自然资办函〔2024〕1009号）</w:t>
      </w:r>
      <w:bookmarkEnd w:id="1"/>
      <w:r>
        <w:rPr>
          <w:rFonts w:hint="eastAsia" w:ascii="仿宋" w:hAnsi="仿宋" w:eastAsia="仿宋" w:cs="仿宋"/>
          <w:color w:val="000000" w:themeColor="text1"/>
          <w:sz w:val="24"/>
          <w:szCs w:val="24"/>
          <w:highlight w:val="none"/>
          <w14:textFill>
            <w14:solidFill>
              <w14:schemeClr w14:val="tx1"/>
            </w14:solidFill>
          </w14:textFill>
        </w:rPr>
        <w:t xml:space="preserve">等文件要求进行用地报批材料的系统填报、纸质报件拟定及正式上报； </w:t>
      </w:r>
    </w:p>
    <w:p w14:paraId="3D36883D">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根据省自然资源厅发布的报件一体化审批系统要求，配合县资规局做好“一方案三信息”、土地分类面积汇总表及征收土地数量及征收土地安置农业人口情况汇总表、资金承诺函等附件上传、技术复核，并根据上级审查意见及时做好数据库信息和成果重新上传工作。征地批复后在江苏省征地信息管理系统完成信息公开；</w:t>
      </w:r>
    </w:p>
    <w:p w14:paraId="6F0006DD">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（7）按照省厅“双随机一公开”要求，配合县资规局做好迎检工作，确保土地征收报件质量。</w:t>
      </w:r>
    </w:p>
    <w:p w14:paraId="6E3FE4D9">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（8）及时了解自然资源部、省厅、自然资源部等上级主管部门的最新用地报批政策及要求，对项目进行全程跟踪服务，直至取得省人民政府用地批复文件等。</w:t>
      </w:r>
    </w:p>
    <w:p w14:paraId="15BA2674">
      <w:pPr>
        <w:pStyle w:val="12"/>
        <w:spacing w:line="360" w:lineRule="auto"/>
        <w:ind w:firstLine="482"/>
        <w:jc w:val="left"/>
        <w:rPr>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（9）供应商需每周上报工作进度，建立项目实施进度台账，便于采购人开展绩效跟踪监控。</w:t>
      </w:r>
    </w:p>
    <w:p w14:paraId="6D6E39DD">
      <w:pPr>
        <w:spacing w:line="360" w:lineRule="auto"/>
        <w:ind w:left="481"/>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三、实施依据</w:t>
      </w:r>
    </w:p>
    <w:p w14:paraId="4DA603D2">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《中华人民共和国土地管理法》</w:t>
      </w:r>
    </w:p>
    <w:p w14:paraId="4B0D15EC">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ascii="仿宋" w:hAnsi="仿宋" w:eastAsia="仿宋" w:cs="仿宋"/>
          <w:color w:val="000000" w:themeColor="text1"/>
          <w:sz w:val="24"/>
          <w:highlight w:val="none"/>
          <w14:textFill>
            <w14:solidFill>
              <w14:schemeClr w14:val="tx1"/>
            </w14:solidFill>
          </w14:textFill>
        </w:rPr>
        <w:t>《中华人民共和国土地管理法实施条例》</w:t>
      </w:r>
    </w:p>
    <w:p w14:paraId="316D0DF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《江苏省土地管理条例》</w:t>
      </w:r>
    </w:p>
    <w:p w14:paraId="6675CD54">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ascii="仿宋" w:hAnsi="仿宋" w:eastAsia="仿宋" w:cs="仿宋"/>
          <w:color w:val="000000" w:themeColor="text1"/>
          <w:sz w:val="24"/>
          <w:highlight w:val="none"/>
          <w14:textFill>
            <w14:solidFill>
              <w14:schemeClr w14:val="tx1"/>
            </w14:solidFill>
          </w14:textFill>
        </w:rPr>
        <w:t>《自然资源部</w:t>
      </w:r>
      <w:r>
        <w:rPr>
          <w:rFonts w:hint="eastAsia" w:ascii="仿宋" w:hAnsi="仿宋" w:eastAsia="仿宋" w:cs="仿宋"/>
          <w:color w:val="000000" w:themeColor="text1"/>
          <w:sz w:val="24"/>
          <w:highlight w:val="none"/>
          <w14:textFill>
            <w14:solidFill>
              <w14:schemeClr w14:val="tx1"/>
            </w14:solidFill>
          </w14:textFill>
        </w:rPr>
        <w:t>办公</w:t>
      </w:r>
      <w:r>
        <w:rPr>
          <w:rFonts w:ascii="仿宋" w:hAnsi="仿宋" w:eastAsia="仿宋" w:cs="仿宋"/>
          <w:color w:val="000000" w:themeColor="text1"/>
          <w:sz w:val="24"/>
          <w:highlight w:val="none"/>
          <w14:textFill>
            <w14:solidFill>
              <w14:schemeClr w14:val="tx1"/>
            </w14:solidFill>
          </w14:textFill>
        </w:rPr>
        <w:t>厅关于以“三调”成果为基础做好建设用地审查报批地类认定的通知》（自然资办函〔2022〕411号）</w:t>
      </w:r>
    </w:p>
    <w:p w14:paraId="17209EDF">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bookmarkStart w:id="2" w:name="_Hlk197962570"/>
      <w:r>
        <w:rPr>
          <w:rFonts w:hint="eastAsia" w:ascii="仿宋" w:hAnsi="仿宋" w:eastAsia="仿宋" w:cs="仿宋"/>
          <w:color w:val="000000" w:themeColor="text1"/>
          <w:sz w:val="24"/>
          <w:highlight w:val="none"/>
          <w14:textFill>
            <w14:solidFill>
              <w14:schemeClr w14:val="tx1"/>
            </w14:solidFill>
          </w14:textFill>
        </w:rPr>
        <w:t>《自然资源部办公厅关于进一步规范建设用地报批文本格式的函》（自然资办函〔2024〕1009号）</w:t>
      </w:r>
      <w:bookmarkEnd w:id="2"/>
    </w:p>
    <w:p w14:paraId="1379D016">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《市政府关于</w:t>
      </w:r>
      <w:r>
        <w:rPr>
          <w:rFonts w:hint="eastAsia" w:ascii="仿宋" w:hAnsi="仿宋" w:eastAsia="仿宋" w:cs="仿宋"/>
          <w:color w:val="000000" w:themeColor="text1"/>
          <w:sz w:val="24"/>
          <w:highlight w:val="none"/>
          <w14:textFill>
            <w14:solidFill>
              <w14:schemeClr w14:val="tx1"/>
            </w14:solidFill>
          </w14:textFill>
        </w:rPr>
        <w:t>重新</w:t>
      </w:r>
      <w:r>
        <w:rPr>
          <w:rFonts w:ascii="仿宋" w:hAnsi="仿宋" w:eastAsia="仿宋" w:cs="仿宋"/>
          <w:color w:val="000000" w:themeColor="text1"/>
          <w:sz w:val="24"/>
          <w:highlight w:val="none"/>
          <w14:textFill>
            <w14:solidFill>
              <w14:schemeClr w14:val="tx1"/>
            </w14:solidFill>
          </w14:textFill>
        </w:rPr>
        <w:t>公布宿迁市所辖各县（区）征地区片综合地价执行标准的通知》（宿政</w:t>
      </w:r>
      <w:r>
        <w:rPr>
          <w:rFonts w:hint="eastAsia" w:ascii="仿宋" w:hAnsi="仿宋" w:eastAsia="仿宋" w:cs="仿宋"/>
          <w:color w:val="000000" w:themeColor="text1"/>
          <w:sz w:val="24"/>
          <w:highlight w:val="none"/>
          <w14:textFill>
            <w14:solidFill>
              <w14:schemeClr w14:val="tx1"/>
            </w14:solidFill>
          </w14:textFill>
        </w:rPr>
        <w:t>规</w:t>
      </w:r>
      <w:r>
        <w:rPr>
          <w:rFonts w:ascii="仿宋" w:hAnsi="仿宋" w:eastAsia="仿宋" w:cs="仿宋"/>
          <w:color w:val="000000" w:themeColor="text1"/>
          <w:sz w:val="24"/>
          <w:highlight w:val="none"/>
          <w14:textFill>
            <w14:solidFill>
              <w14:schemeClr w14:val="tx1"/>
            </w14:solidFill>
          </w14:textFill>
        </w:rPr>
        <w:t>发〔202</w:t>
      </w: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7</w:t>
      </w:r>
      <w:r>
        <w:rPr>
          <w:rFonts w:ascii="仿宋" w:hAnsi="仿宋" w:eastAsia="仿宋" w:cs="仿宋"/>
          <w:color w:val="000000" w:themeColor="text1"/>
          <w:sz w:val="24"/>
          <w:highlight w:val="none"/>
          <w14:textFill>
            <w14:solidFill>
              <w14:schemeClr w14:val="tx1"/>
            </w14:solidFill>
          </w14:textFill>
        </w:rPr>
        <w:t>号）</w:t>
      </w:r>
    </w:p>
    <w:p w14:paraId="710C09D8">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ascii="仿宋" w:hAnsi="仿宋" w:eastAsia="仿宋" w:cs="仿宋"/>
          <w:color w:val="000000" w:themeColor="text1"/>
          <w:sz w:val="24"/>
          <w:highlight w:val="none"/>
          <w14:textFill>
            <w14:solidFill>
              <w14:schemeClr w14:val="tx1"/>
            </w14:solidFill>
          </w14:textFill>
        </w:rPr>
        <w:t>《江苏省土地征收工作会议纪要》</w:t>
      </w:r>
    </w:p>
    <w:p w14:paraId="6B55645B">
      <w:pPr>
        <w:spacing w:line="360" w:lineRule="auto"/>
        <w:ind w:firstLine="480" w:firstLineChars="200"/>
        <w:jc w:val="left"/>
        <w:rPr>
          <w:rFonts w:eastAsia="仿宋_GB2312"/>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bookmarkStart w:id="3" w:name="_Hlk197962595"/>
      <w:r>
        <w:rPr>
          <w:rFonts w:hint="eastAsia" w:ascii="仿宋" w:hAnsi="仿宋" w:eastAsia="仿宋" w:cs="仿宋"/>
          <w:color w:val="000000" w:themeColor="text1"/>
          <w:sz w:val="24"/>
          <w:highlight w:val="none"/>
          <w14:textFill>
            <w14:solidFill>
              <w14:schemeClr w14:val="tx1"/>
            </w14:solidFill>
          </w14:textFill>
        </w:rPr>
        <w:t>《自然资源部关于进一步做好用地用海要素保障的通知》（自然资发〔2023〕89号）</w:t>
      </w:r>
      <w:bookmarkEnd w:id="3"/>
    </w:p>
    <w:p w14:paraId="3CBD86A3">
      <w:pPr>
        <w:spacing w:line="360" w:lineRule="auto"/>
        <w:ind w:firstLine="480" w:firstLineChars="200"/>
        <w:jc w:val="left"/>
        <w:rPr>
          <w:rStyle w:val="13"/>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9、《自然资源部关于进一步改进优化能源、交通、水利等重大建设项目用地组卷报批工作的通知》（自然资发（2024）36号）</w:t>
      </w:r>
    </w:p>
    <w:p w14:paraId="3D24EE85">
      <w:pPr>
        <w:spacing w:line="360" w:lineRule="auto"/>
        <w:ind w:firstLine="482"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四、成果要求</w:t>
      </w:r>
    </w:p>
    <w:p w14:paraId="40C5B0CF">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14:textFill>
            <w14:solidFill>
              <w14:schemeClr w14:val="tx1"/>
            </w14:solidFill>
          </w14:textFill>
        </w:rPr>
        <w:t>《自然资源部关于进一步做好用地用海要素保障的通知》（自然资发〔2023〕89号）、《江苏省人民政府关于印发江苏省被征地农民社会保障办法的通知》（苏政发〔2021〕87号文）、《自然资源部办公厅关于进一步规范建设用地报批文本格式的函》（自然资办函〔2024〕1009号）</w:t>
      </w:r>
      <w:r>
        <w:rPr>
          <w:rFonts w:hint="eastAsia" w:ascii="仿宋" w:hAnsi="仿宋" w:eastAsia="仿宋" w:cs="仿宋"/>
          <w:color w:val="000000" w:themeColor="text1"/>
          <w:sz w:val="24"/>
          <w:highlight w:val="none"/>
          <w14:textFill>
            <w14:solidFill>
              <w14:schemeClr w14:val="tx1"/>
            </w14:solidFill>
          </w14:textFill>
        </w:rPr>
        <w:t>等文件要求，填报报批一体化审批系统、将用地报批的相关材料组卷上报，直至取得省人民政府用地批复文件，并形成电子和纸质组卷材料备案（纸质组卷材料需向采购人提供不少于4套用于存档及后期使用）</w:t>
      </w:r>
    </w:p>
    <w:p w14:paraId="36091776">
      <w:pPr>
        <w:spacing w:line="360" w:lineRule="auto"/>
        <w:ind w:firstLine="482"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五、工作范围及数量</w:t>
      </w:r>
    </w:p>
    <w:p w14:paraId="3F41B43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采购包1：涉及县域城市发展约1416亩，具体以实际完成报批的地块与数量为准。</w:t>
      </w:r>
    </w:p>
    <w:p w14:paraId="53B8002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采购包2：涉及县域工业发展约1384亩，具体以实际完成报批的地块与数量为准。</w:t>
      </w:r>
    </w:p>
    <w:p w14:paraId="6776CAB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注：本项目拟初步报批地块及亩数见附表，特别说明，附表中的地块及亩数为初步报批计划，后因相关政策及要求需进行调整的，均以实际完成报批的地块与数量为准。</w:t>
      </w:r>
    </w:p>
    <w:tbl>
      <w:tblPr>
        <w:tblStyle w:val="4"/>
        <w:tblW w:w="8526" w:type="dxa"/>
        <w:tblInd w:w="93" w:type="dxa"/>
        <w:tblLayout w:type="fixed"/>
        <w:tblCellMar>
          <w:top w:w="0" w:type="dxa"/>
          <w:left w:w="108" w:type="dxa"/>
          <w:bottom w:w="0" w:type="dxa"/>
          <w:right w:w="108" w:type="dxa"/>
        </w:tblCellMar>
      </w:tblPr>
      <w:tblGrid>
        <w:gridCol w:w="896"/>
        <w:gridCol w:w="2283"/>
        <w:gridCol w:w="2581"/>
        <w:gridCol w:w="1730"/>
        <w:gridCol w:w="1036"/>
      </w:tblGrid>
      <w:tr w14:paraId="25027117">
        <w:tblPrEx>
          <w:tblCellMar>
            <w:top w:w="0" w:type="dxa"/>
            <w:left w:w="108" w:type="dxa"/>
            <w:bottom w:w="0" w:type="dxa"/>
            <w:right w:w="108" w:type="dxa"/>
          </w:tblCellMar>
        </w:tblPrEx>
        <w:trPr>
          <w:trHeight w:val="687" w:hRule="atLeast"/>
        </w:trPr>
        <w:tc>
          <w:tcPr>
            <w:tcW w:w="8526" w:type="dxa"/>
            <w:gridSpan w:val="5"/>
            <w:tcBorders>
              <w:top w:val="nil"/>
              <w:left w:val="nil"/>
              <w:bottom w:val="single" w:color="000000" w:sz="4" w:space="0"/>
              <w:right w:val="nil"/>
            </w:tcBorders>
            <w:shd w:val="clear" w:color="auto" w:fill="auto"/>
            <w:noWrap/>
            <w:vAlign w:val="center"/>
          </w:tcPr>
          <w:p w14:paraId="617E3786">
            <w:pPr>
              <w:widowControl/>
              <w:jc w:val="center"/>
              <w:textAlignment w:val="center"/>
              <w:rPr>
                <w:b/>
                <w:bCs/>
                <w:color w:val="000000" w:themeColor="text1"/>
                <w:szCs w:val="21"/>
                <w:highlight w:val="none"/>
                <w14:textFill>
                  <w14:solidFill>
                    <w14:schemeClr w14:val="tx1"/>
                  </w14:solidFill>
                </w14:textFill>
              </w:rPr>
            </w:pPr>
            <w:r>
              <w:rPr>
                <w:rStyle w:val="14"/>
                <w:rFonts w:hint="default"/>
                <w:color w:val="000000" w:themeColor="text1"/>
                <w:sz w:val="21"/>
                <w:szCs w:val="21"/>
                <w:highlight w:val="none"/>
                <w:lang w:bidi="ar"/>
                <w14:textFill>
                  <w14:solidFill>
                    <w14:schemeClr w14:val="tx1"/>
                  </w14:solidFill>
                </w14:textFill>
              </w:rPr>
              <w:t>泗洪县</w:t>
            </w:r>
            <w:r>
              <w:rPr>
                <w:rStyle w:val="15"/>
                <w:color w:val="000000" w:themeColor="text1"/>
                <w:sz w:val="21"/>
                <w:szCs w:val="21"/>
                <w:highlight w:val="none"/>
                <w:lang w:bidi="ar"/>
                <w14:textFill>
                  <w14:solidFill>
                    <w14:schemeClr w14:val="tx1"/>
                  </w14:solidFill>
                </w14:textFill>
              </w:rPr>
              <w:t>2025</w:t>
            </w:r>
            <w:r>
              <w:rPr>
                <w:rStyle w:val="14"/>
                <w:rFonts w:hint="default"/>
                <w:color w:val="000000" w:themeColor="text1"/>
                <w:sz w:val="21"/>
                <w:szCs w:val="21"/>
                <w:highlight w:val="none"/>
                <w:lang w:bidi="ar"/>
                <w14:textFill>
                  <w14:solidFill>
                    <w14:schemeClr w14:val="tx1"/>
                  </w14:solidFill>
                </w14:textFill>
              </w:rPr>
              <w:t>年重大项目用地报批外包统计表</w:t>
            </w:r>
          </w:p>
        </w:tc>
      </w:tr>
      <w:tr w14:paraId="6AC4AC09">
        <w:tblPrEx>
          <w:tblCellMar>
            <w:top w:w="0" w:type="dxa"/>
            <w:left w:w="108" w:type="dxa"/>
            <w:bottom w:w="0" w:type="dxa"/>
            <w:right w:w="108" w:type="dxa"/>
          </w:tblCellMar>
        </w:tblPrEx>
        <w:trPr>
          <w:trHeight w:val="55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DFB9">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9523">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项目分类</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D2C">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项目名称</w:t>
            </w:r>
          </w:p>
        </w:tc>
        <w:tc>
          <w:tcPr>
            <w:tcW w:w="1730" w:type="dxa"/>
            <w:tcBorders>
              <w:top w:val="single" w:color="000000" w:sz="4" w:space="0"/>
              <w:left w:val="single" w:color="000000" w:sz="4" w:space="0"/>
              <w:bottom w:val="nil"/>
              <w:right w:val="nil"/>
            </w:tcBorders>
            <w:shd w:val="clear" w:color="auto" w:fill="auto"/>
            <w:vAlign w:val="center"/>
          </w:tcPr>
          <w:p w14:paraId="24F55B19">
            <w:pPr>
              <w:widowControl/>
              <w:jc w:val="center"/>
              <w:textAlignment w:val="center"/>
              <w:rPr>
                <w:color w:val="000000" w:themeColor="text1"/>
                <w:szCs w:val="21"/>
                <w:highlight w:val="none"/>
                <w14:textFill>
                  <w14:solidFill>
                    <w14:schemeClr w14:val="tx1"/>
                  </w14:solidFill>
                </w14:textFill>
              </w:rPr>
            </w:pPr>
            <w:r>
              <w:rPr>
                <w:rStyle w:val="16"/>
                <w:color w:val="000000" w:themeColor="text1"/>
                <w:sz w:val="21"/>
                <w:szCs w:val="21"/>
                <w:highlight w:val="none"/>
                <w:lang w:bidi="ar"/>
                <w14:textFill>
                  <w14:solidFill>
                    <w14:schemeClr w14:val="tx1"/>
                  </w14:solidFill>
                </w14:textFill>
              </w:rPr>
              <w:t>用地面积（亩）</w:t>
            </w:r>
          </w:p>
        </w:tc>
        <w:tc>
          <w:tcPr>
            <w:tcW w:w="1036" w:type="dxa"/>
            <w:tcBorders>
              <w:top w:val="single" w:color="000000" w:sz="4" w:space="0"/>
              <w:left w:val="single" w:color="000000" w:sz="4" w:space="0"/>
              <w:bottom w:val="nil"/>
              <w:right w:val="single" w:color="000000" w:sz="4" w:space="0"/>
            </w:tcBorders>
            <w:shd w:val="clear" w:color="auto" w:fill="FFFFFF"/>
            <w:vAlign w:val="center"/>
          </w:tcPr>
          <w:p w14:paraId="34B9962B">
            <w:pPr>
              <w:widowControl/>
              <w:jc w:val="center"/>
              <w:textAlignment w:val="center"/>
              <w:rPr>
                <w:color w:val="000000" w:themeColor="text1"/>
                <w:szCs w:val="21"/>
                <w:highlight w:val="none"/>
                <w14:textFill>
                  <w14:solidFill>
                    <w14:schemeClr w14:val="tx1"/>
                  </w14:solidFill>
                </w14:textFill>
              </w:rPr>
            </w:pPr>
            <w:r>
              <w:rPr>
                <w:rStyle w:val="17"/>
                <w:rFonts w:hint="default"/>
                <w:color w:val="000000" w:themeColor="text1"/>
                <w:sz w:val="21"/>
                <w:szCs w:val="21"/>
                <w:highlight w:val="none"/>
                <w:lang w:bidi="ar"/>
                <w14:textFill>
                  <w14:solidFill>
                    <w14:schemeClr w14:val="tx1"/>
                  </w14:solidFill>
                </w14:textFill>
              </w:rPr>
              <w:t>备注</w:t>
            </w:r>
          </w:p>
        </w:tc>
      </w:tr>
      <w:tr w14:paraId="4A2D7503">
        <w:tblPrEx>
          <w:tblCellMar>
            <w:top w:w="0" w:type="dxa"/>
            <w:left w:w="108" w:type="dxa"/>
            <w:bottom w:w="0" w:type="dxa"/>
            <w:right w:w="108" w:type="dxa"/>
          </w:tblCellMar>
        </w:tblPrEx>
        <w:trPr>
          <w:trHeight w:val="514"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94602">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w:t>
            </w:r>
          </w:p>
        </w:tc>
        <w:tc>
          <w:tcPr>
            <w:tcW w:w="2283" w:type="dxa"/>
            <w:vMerge w:val="restart"/>
            <w:tcBorders>
              <w:top w:val="single" w:color="000000" w:sz="4" w:space="0"/>
              <w:left w:val="single" w:color="000000" w:sz="4" w:space="0"/>
              <w:bottom w:val="nil"/>
              <w:right w:val="single" w:color="000000" w:sz="4" w:space="0"/>
            </w:tcBorders>
            <w:shd w:val="clear" w:color="auto" w:fill="FFFFFF"/>
            <w:vAlign w:val="center"/>
          </w:tcPr>
          <w:p w14:paraId="339CA818">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县域工业发展用地</w:t>
            </w: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5D3F">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开发区盈田创旺智能设备</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DA90">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167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0C39">
            <w:pPr>
              <w:rPr>
                <w:color w:val="000000" w:themeColor="text1"/>
                <w:szCs w:val="21"/>
                <w:highlight w:val="none"/>
                <w14:textFill>
                  <w14:solidFill>
                    <w14:schemeClr w14:val="tx1"/>
                  </w14:solidFill>
                </w14:textFill>
              </w:rPr>
            </w:pPr>
          </w:p>
        </w:tc>
      </w:tr>
      <w:tr w14:paraId="637010C7">
        <w:tblPrEx>
          <w:tblCellMar>
            <w:top w:w="0" w:type="dxa"/>
            <w:left w:w="108" w:type="dxa"/>
            <w:bottom w:w="0" w:type="dxa"/>
            <w:right w:w="108" w:type="dxa"/>
          </w:tblCellMar>
        </w:tblPrEx>
        <w:trPr>
          <w:trHeight w:val="501"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27B12">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2</w:t>
            </w:r>
          </w:p>
        </w:tc>
        <w:tc>
          <w:tcPr>
            <w:tcW w:w="2283" w:type="dxa"/>
            <w:vMerge w:val="continue"/>
            <w:tcBorders>
              <w:top w:val="single" w:color="000000" w:sz="4" w:space="0"/>
              <w:left w:val="single" w:color="000000" w:sz="4" w:space="0"/>
              <w:bottom w:val="nil"/>
              <w:right w:val="single" w:color="000000" w:sz="4" w:space="0"/>
            </w:tcBorders>
            <w:shd w:val="clear" w:color="auto" w:fill="FFFFFF"/>
            <w:vAlign w:val="center"/>
          </w:tcPr>
          <w:p w14:paraId="6C7901C8">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26D2">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开发区双阳机械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664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153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D6DD">
            <w:pPr>
              <w:rPr>
                <w:color w:val="000000" w:themeColor="text1"/>
                <w:szCs w:val="21"/>
                <w:highlight w:val="none"/>
                <w14:textFill>
                  <w14:solidFill>
                    <w14:schemeClr w14:val="tx1"/>
                  </w14:solidFill>
                </w14:textFill>
              </w:rPr>
            </w:pPr>
          </w:p>
        </w:tc>
      </w:tr>
      <w:tr w14:paraId="23B02CEA">
        <w:tblPrEx>
          <w:tblCellMar>
            <w:top w:w="0" w:type="dxa"/>
            <w:left w:w="108" w:type="dxa"/>
            <w:bottom w:w="0" w:type="dxa"/>
            <w:right w:w="108" w:type="dxa"/>
          </w:tblCellMar>
        </w:tblPrEx>
        <w:trPr>
          <w:trHeight w:val="683"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0EEE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3</w:t>
            </w:r>
          </w:p>
        </w:tc>
        <w:tc>
          <w:tcPr>
            <w:tcW w:w="2283" w:type="dxa"/>
            <w:vMerge w:val="continue"/>
            <w:tcBorders>
              <w:top w:val="single" w:color="000000" w:sz="4" w:space="0"/>
              <w:left w:val="single" w:color="000000" w:sz="4" w:space="0"/>
              <w:bottom w:val="nil"/>
              <w:right w:val="single" w:color="000000" w:sz="4" w:space="0"/>
            </w:tcBorders>
            <w:shd w:val="clear" w:color="auto" w:fill="FFFFFF"/>
            <w:vAlign w:val="center"/>
          </w:tcPr>
          <w:p w14:paraId="1EEC39B0">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1086">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开发区工业预留</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D17A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1064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9197">
            <w:pPr>
              <w:rPr>
                <w:color w:val="000000" w:themeColor="text1"/>
                <w:szCs w:val="21"/>
                <w:highlight w:val="none"/>
                <w14:textFill>
                  <w14:solidFill>
                    <w14:schemeClr w14:val="tx1"/>
                  </w14:solidFill>
                </w14:textFill>
              </w:rPr>
            </w:pPr>
          </w:p>
        </w:tc>
      </w:tr>
      <w:tr w14:paraId="12A428AE">
        <w:tblPrEx>
          <w:tblCellMar>
            <w:top w:w="0" w:type="dxa"/>
            <w:left w:w="108" w:type="dxa"/>
            <w:bottom w:w="0" w:type="dxa"/>
            <w:right w:w="108" w:type="dxa"/>
          </w:tblCellMar>
        </w:tblPrEx>
        <w:trPr>
          <w:trHeight w:val="566" w:hRule="atLeast"/>
        </w:trPr>
        <w:tc>
          <w:tcPr>
            <w:tcW w:w="57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4691B">
            <w:pPr>
              <w:widowControl/>
              <w:jc w:val="center"/>
              <w:textAlignment w:val="center"/>
              <w:rPr>
                <w:b/>
                <w:bCs/>
                <w:color w:val="000000" w:themeColor="text1"/>
                <w:szCs w:val="21"/>
                <w:highlight w:val="none"/>
                <w14:textFill>
                  <w14:solidFill>
                    <w14:schemeClr w14:val="tx1"/>
                  </w14:solidFill>
                </w14:textFill>
              </w:rPr>
            </w:pPr>
            <w:r>
              <w:rPr>
                <w:rStyle w:val="19"/>
                <w:rFonts w:hint="default"/>
                <w:color w:val="000000" w:themeColor="text1"/>
                <w:sz w:val="21"/>
                <w:szCs w:val="21"/>
                <w:highlight w:val="none"/>
                <w:lang w:bidi="ar"/>
                <w14:textFill>
                  <w14:solidFill>
                    <w14:schemeClr w14:val="tx1"/>
                  </w14:solidFill>
                </w14:textFill>
              </w:rPr>
              <w:t>小</w:t>
            </w:r>
            <w:r>
              <w:rPr>
                <w:rStyle w:val="20"/>
                <w:color w:val="000000" w:themeColor="text1"/>
                <w:sz w:val="21"/>
                <w:szCs w:val="21"/>
                <w:highlight w:val="none"/>
                <w:lang w:bidi="ar"/>
                <w14:textFill>
                  <w14:solidFill>
                    <w14:schemeClr w14:val="tx1"/>
                  </w14:solidFill>
                </w14:textFill>
              </w:rPr>
              <w:t xml:space="preserve">     </w:t>
            </w:r>
            <w:r>
              <w:rPr>
                <w:rStyle w:val="19"/>
                <w:rFonts w:hint="default"/>
                <w:color w:val="000000" w:themeColor="text1"/>
                <w:sz w:val="21"/>
                <w:szCs w:val="21"/>
                <w:highlight w:val="none"/>
                <w:lang w:bidi="ar"/>
                <w14:textFill>
                  <w14:solidFill>
                    <w14:schemeClr w14:val="tx1"/>
                  </w14:solidFill>
                </w14:textFill>
              </w:rPr>
              <w:t>计</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058A3">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1384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12285">
            <w:pPr>
              <w:rPr>
                <w:color w:val="000000" w:themeColor="text1"/>
                <w:szCs w:val="21"/>
                <w:highlight w:val="none"/>
                <w14:textFill>
                  <w14:solidFill>
                    <w14:schemeClr w14:val="tx1"/>
                  </w14:solidFill>
                </w14:textFill>
              </w:rPr>
            </w:pPr>
          </w:p>
        </w:tc>
      </w:tr>
      <w:tr w14:paraId="42CF468A">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4D6F4">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CAA56">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县域城市建设用地</w:t>
            </w: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26997">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顺山集考古遗址保护展示项目</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0A489">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35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6FE84">
            <w:pPr>
              <w:rPr>
                <w:color w:val="000000" w:themeColor="text1"/>
                <w:szCs w:val="21"/>
                <w:highlight w:val="none"/>
                <w14:textFill>
                  <w14:solidFill>
                    <w14:schemeClr w14:val="tx1"/>
                  </w14:solidFill>
                </w14:textFill>
              </w:rPr>
            </w:pPr>
          </w:p>
        </w:tc>
      </w:tr>
      <w:tr w14:paraId="727BAA8E">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44292">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2</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886D1">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247D">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城东公园改造提升工程项目</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344AA">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18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58378">
            <w:pPr>
              <w:rPr>
                <w:color w:val="000000" w:themeColor="text1"/>
                <w:szCs w:val="21"/>
                <w:highlight w:val="none"/>
                <w14:textFill>
                  <w14:solidFill>
                    <w14:schemeClr w14:val="tx1"/>
                  </w14:solidFill>
                </w14:textFill>
              </w:rPr>
            </w:pPr>
          </w:p>
        </w:tc>
      </w:tr>
      <w:tr w14:paraId="783688D8">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B5094">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3</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777B9">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7F71">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城南公园改造提升工程项目</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FF3FF">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150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A56A6">
            <w:pPr>
              <w:rPr>
                <w:color w:val="000000" w:themeColor="text1"/>
                <w:szCs w:val="21"/>
                <w:highlight w:val="none"/>
                <w14:textFill>
                  <w14:solidFill>
                    <w14:schemeClr w14:val="tx1"/>
                  </w14:solidFill>
                </w14:textFill>
              </w:rPr>
            </w:pPr>
          </w:p>
        </w:tc>
      </w:tr>
      <w:tr w14:paraId="78C0E1A5">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64909">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4</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D8052">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5A4E">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长江路东延</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711CE">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105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0A34">
            <w:pPr>
              <w:jc w:val="center"/>
              <w:rPr>
                <w:b/>
                <w:bCs/>
                <w:color w:val="000000" w:themeColor="text1"/>
                <w:szCs w:val="21"/>
                <w:highlight w:val="none"/>
                <w14:textFill>
                  <w14:solidFill>
                    <w14:schemeClr w14:val="tx1"/>
                  </w14:solidFill>
                </w14:textFill>
              </w:rPr>
            </w:pPr>
          </w:p>
        </w:tc>
      </w:tr>
      <w:tr w14:paraId="760D25ED">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785B">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5</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EF8D8">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C7C4">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团结河路东延</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7DC68">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54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0349">
            <w:pPr>
              <w:jc w:val="center"/>
              <w:rPr>
                <w:b/>
                <w:bCs/>
                <w:color w:val="000000" w:themeColor="text1"/>
                <w:szCs w:val="21"/>
                <w:highlight w:val="none"/>
                <w14:textFill>
                  <w14:solidFill>
                    <w14:schemeClr w14:val="tx1"/>
                  </w14:solidFill>
                </w14:textFill>
              </w:rPr>
            </w:pPr>
          </w:p>
        </w:tc>
      </w:tr>
      <w:tr w14:paraId="7A67173F">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A67C4">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6</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F1498">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16CA">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垃圾飞灰填埋二期项目</w:t>
            </w:r>
          </w:p>
        </w:tc>
        <w:tc>
          <w:tcPr>
            <w:tcW w:w="1730" w:type="dxa"/>
            <w:tcBorders>
              <w:top w:val="nil"/>
              <w:left w:val="single" w:color="000000" w:sz="4" w:space="0"/>
              <w:bottom w:val="single" w:color="000000" w:sz="4" w:space="0"/>
              <w:right w:val="single" w:color="000000" w:sz="4" w:space="0"/>
            </w:tcBorders>
            <w:shd w:val="clear" w:color="auto" w:fill="FFFFFF"/>
            <w:noWrap/>
            <w:vAlign w:val="center"/>
          </w:tcPr>
          <w:p w14:paraId="4B3978A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40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3EAE">
            <w:pPr>
              <w:jc w:val="center"/>
              <w:rPr>
                <w:color w:val="000000" w:themeColor="text1"/>
                <w:szCs w:val="21"/>
                <w:highlight w:val="none"/>
                <w14:textFill>
                  <w14:solidFill>
                    <w14:schemeClr w14:val="tx1"/>
                  </w14:solidFill>
                </w14:textFill>
              </w:rPr>
            </w:pPr>
          </w:p>
        </w:tc>
      </w:tr>
      <w:tr w14:paraId="1FD0CA23">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B9437">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7</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66A24">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85128">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第一人民医院新院址</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5BFE7F4C">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205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1CAA">
            <w:pPr>
              <w:rPr>
                <w:color w:val="000000" w:themeColor="text1"/>
                <w:szCs w:val="21"/>
                <w:highlight w:val="none"/>
                <w14:textFill>
                  <w14:solidFill>
                    <w14:schemeClr w14:val="tx1"/>
                  </w14:solidFill>
                </w14:textFill>
              </w:rPr>
            </w:pPr>
          </w:p>
        </w:tc>
      </w:tr>
      <w:tr w14:paraId="0EBA204A">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E018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8</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6C5EF">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5D6E">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姜堰中学初中部停车场</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42978CEA">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44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A1E0">
            <w:pPr>
              <w:rPr>
                <w:color w:val="000000" w:themeColor="text1"/>
                <w:szCs w:val="21"/>
                <w:highlight w:val="none"/>
                <w14:textFill>
                  <w14:solidFill>
                    <w14:schemeClr w14:val="tx1"/>
                  </w14:solidFill>
                </w14:textFill>
              </w:rPr>
            </w:pPr>
          </w:p>
        </w:tc>
      </w:tr>
      <w:tr w14:paraId="1BED26E1">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5BA3">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9</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7A5C0">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A11F8">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公安局归仁派出所迁建项目</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3AC16DD5">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40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C8C1F">
            <w:pPr>
              <w:rPr>
                <w:color w:val="000000" w:themeColor="text1"/>
                <w:szCs w:val="21"/>
                <w:highlight w:val="none"/>
                <w14:textFill>
                  <w14:solidFill>
                    <w14:schemeClr w14:val="tx1"/>
                  </w14:solidFill>
                </w14:textFill>
              </w:rPr>
            </w:pPr>
          </w:p>
        </w:tc>
      </w:tr>
      <w:tr w14:paraId="0A901945">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3E05D">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10</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1EB1D">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D730">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城区新建公交车站项目</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17A2DFE5">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80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0DAD">
            <w:pPr>
              <w:rPr>
                <w:color w:val="000000" w:themeColor="text1"/>
                <w:szCs w:val="21"/>
                <w:highlight w:val="none"/>
                <w14:textFill>
                  <w14:solidFill>
                    <w14:schemeClr w14:val="tx1"/>
                  </w14:solidFill>
                </w14:textFill>
              </w:rPr>
            </w:pPr>
          </w:p>
        </w:tc>
      </w:tr>
      <w:tr w14:paraId="0C69151F">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B7A0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11</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52087">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2246">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县供销总社综合服务中心项目</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110D7FDF">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100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05EA">
            <w:pPr>
              <w:rPr>
                <w:color w:val="000000" w:themeColor="text1"/>
                <w:szCs w:val="21"/>
                <w:highlight w:val="none"/>
                <w14:textFill>
                  <w14:solidFill>
                    <w14:schemeClr w14:val="tx1"/>
                  </w14:solidFill>
                </w14:textFill>
              </w:rPr>
            </w:pPr>
          </w:p>
        </w:tc>
      </w:tr>
      <w:tr w14:paraId="33A9C8BD">
        <w:tblPrEx>
          <w:tblCellMar>
            <w:top w:w="0" w:type="dxa"/>
            <w:left w:w="108" w:type="dxa"/>
            <w:bottom w:w="0" w:type="dxa"/>
            <w:right w:w="108" w:type="dxa"/>
          </w:tblCellMar>
        </w:tblPrEx>
        <w:trPr>
          <w:trHeight w:val="605" w:hRule="atLeast"/>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C1521">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12</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6A75F">
            <w:pPr>
              <w:jc w:val="center"/>
              <w:rPr>
                <w:color w:val="000000" w:themeColor="text1"/>
                <w:szCs w:val="21"/>
                <w:highlight w:val="none"/>
                <w14:textFill>
                  <w14:solidFill>
                    <w14:schemeClr w14:val="tx1"/>
                  </w14:solidFill>
                </w14:textFill>
              </w:rPr>
            </w:pPr>
          </w:p>
        </w:tc>
        <w:tc>
          <w:tcPr>
            <w:tcW w:w="2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D092">
            <w:pPr>
              <w:widowControl/>
              <w:jc w:val="center"/>
              <w:textAlignment w:val="center"/>
              <w:rPr>
                <w:color w:val="000000" w:themeColor="text1"/>
                <w:szCs w:val="21"/>
                <w:highlight w:val="none"/>
                <w14:textFill>
                  <w14:solidFill>
                    <w14:schemeClr w14:val="tx1"/>
                  </w14:solidFill>
                </w14:textFill>
              </w:rPr>
            </w:pPr>
            <w:r>
              <w:rPr>
                <w:rStyle w:val="18"/>
                <w:color w:val="000000" w:themeColor="text1"/>
                <w:sz w:val="21"/>
                <w:szCs w:val="21"/>
                <w:highlight w:val="none"/>
                <w:lang w:bidi="ar"/>
                <w14:textFill>
                  <w14:solidFill>
                    <w14:schemeClr w14:val="tx1"/>
                  </w14:solidFill>
                </w14:textFill>
              </w:rPr>
              <w:t>中等专业学校迁建工程</w:t>
            </w:r>
          </w:p>
        </w:tc>
        <w:tc>
          <w:tcPr>
            <w:tcW w:w="1730" w:type="dxa"/>
            <w:tcBorders>
              <w:top w:val="single" w:color="000000" w:sz="4" w:space="0"/>
              <w:left w:val="single" w:color="000000" w:sz="4" w:space="0"/>
              <w:bottom w:val="nil"/>
              <w:right w:val="single" w:color="000000" w:sz="4" w:space="0"/>
            </w:tcBorders>
            <w:shd w:val="clear" w:color="auto" w:fill="FFFFFF"/>
            <w:noWrap/>
            <w:vAlign w:val="center"/>
          </w:tcPr>
          <w:p w14:paraId="603A9DE6">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545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F007">
            <w:pPr>
              <w:rPr>
                <w:color w:val="000000" w:themeColor="text1"/>
                <w:szCs w:val="21"/>
                <w:highlight w:val="none"/>
                <w14:textFill>
                  <w14:solidFill>
                    <w14:schemeClr w14:val="tx1"/>
                  </w14:solidFill>
                </w14:textFill>
              </w:rPr>
            </w:pPr>
          </w:p>
        </w:tc>
      </w:tr>
      <w:tr w14:paraId="121C23C8">
        <w:tblPrEx>
          <w:tblCellMar>
            <w:top w:w="0" w:type="dxa"/>
            <w:left w:w="108" w:type="dxa"/>
            <w:bottom w:w="0" w:type="dxa"/>
            <w:right w:w="108" w:type="dxa"/>
          </w:tblCellMar>
        </w:tblPrEx>
        <w:trPr>
          <w:trHeight w:val="553" w:hRule="atLeast"/>
        </w:trPr>
        <w:tc>
          <w:tcPr>
            <w:tcW w:w="57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F2CD">
            <w:pPr>
              <w:widowControl/>
              <w:jc w:val="center"/>
              <w:textAlignment w:val="center"/>
              <w:rPr>
                <w:b/>
                <w:bCs/>
                <w:color w:val="000000" w:themeColor="text1"/>
                <w:szCs w:val="21"/>
                <w:highlight w:val="none"/>
                <w14:textFill>
                  <w14:solidFill>
                    <w14:schemeClr w14:val="tx1"/>
                  </w14:solidFill>
                </w14:textFill>
              </w:rPr>
            </w:pPr>
            <w:r>
              <w:rPr>
                <w:rStyle w:val="19"/>
                <w:rFonts w:hint="default"/>
                <w:color w:val="000000" w:themeColor="text1"/>
                <w:sz w:val="21"/>
                <w:szCs w:val="21"/>
                <w:highlight w:val="none"/>
                <w:lang w:bidi="ar"/>
                <w14:textFill>
                  <w14:solidFill>
                    <w14:schemeClr w14:val="tx1"/>
                  </w14:solidFill>
                </w14:textFill>
              </w:rPr>
              <w:t>小</w:t>
            </w:r>
            <w:r>
              <w:rPr>
                <w:rStyle w:val="20"/>
                <w:color w:val="000000" w:themeColor="text1"/>
                <w:sz w:val="21"/>
                <w:szCs w:val="21"/>
                <w:highlight w:val="none"/>
                <w:lang w:bidi="ar"/>
                <w14:textFill>
                  <w14:solidFill>
                    <w14:schemeClr w14:val="tx1"/>
                  </w14:solidFill>
                </w14:textFill>
              </w:rPr>
              <w:t xml:space="preserve">     </w:t>
            </w:r>
            <w:r>
              <w:rPr>
                <w:rStyle w:val="19"/>
                <w:rFonts w:hint="default"/>
                <w:color w:val="000000" w:themeColor="text1"/>
                <w:sz w:val="21"/>
                <w:szCs w:val="21"/>
                <w:highlight w:val="none"/>
                <w:lang w:bidi="ar"/>
                <w14:textFill>
                  <w14:solidFill>
                    <w14:schemeClr w14:val="tx1"/>
                  </w14:solidFill>
                </w14:textFill>
              </w:rPr>
              <w:t>计</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6C2F5">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1416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F5B94">
            <w:pPr>
              <w:jc w:val="center"/>
              <w:rPr>
                <w:color w:val="000000" w:themeColor="text1"/>
                <w:szCs w:val="21"/>
                <w:highlight w:val="none"/>
                <w14:textFill>
                  <w14:solidFill>
                    <w14:schemeClr w14:val="tx1"/>
                  </w14:solidFill>
                </w14:textFill>
              </w:rPr>
            </w:pPr>
          </w:p>
        </w:tc>
      </w:tr>
      <w:tr w14:paraId="5BF99719">
        <w:tblPrEx>
          <w:tblCellMar>
            <w:top w:w="0" w:type="dxa"/>
            <w:left w:w="108" w:type="dxa"/>
            <w:bottom w:w="0" w:type="dxa"/>
            <w:right w:w="108" w:type="dxa"/>
          </w:tblCellMar>
        </w:tblPrEx>
        <w:trPr>
          <w:trHeight w:val="562" w:hRule="atLeast"/>
        </w:trPr>
        <w:tc>
          <w:tcPr>
            <w:tcW w:w="57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B32F1">
            <w:pPr>
              <w:widowControl/>
              <w:jc w:val="center"/>
              <w:textAlignment w:val="center"/>
              <w:rPr>
                <w:b/>
                <w:bCs/>
                <w:color w:val="000000" w:themeColor="text1"/>
                <w:szCs w:val="21"/>
                <w:highlight w:val="none"/>
                <w14:textFill>
                  <w14:solidFill>
                    <w14:schemeClr w14:val="tx1"/>
                  </w14:solidFill>
                </w14:textFill>
              </w:rPr>
            </w:pPr>
            <w:r>
              <w:rPr>
                <w:rStyle w:val="19"/>
                <w:rFonts w:hint="default"/>
                <w:color w:val="000000" w:themeColor="text1"/>
                <w:sz w:val="21"/>
                <w:szCs w:val="21"/>
                <w:highlight w:val="none"/>
                <w:lang w:bidi="ar"/>
                <w14:textFill>
                  <w14:solidFill>
                    <w14:schemeClr w14:val="tx1"/>
                  </w14:solidFill>
                </w14:textFill>
              </w:rPr>
              <w:t>合</w:t>
            </w:r>
            <w:r>
              <w:rPr>
                <w:rStyle w:val="20"/>
                <w:color w:val="000000" w:themeColor="text1"/>
                <w:sz w:val="21"/>
                <w:szCs w:val="21"/>
                <w:highlight w:val="none"/>
                <w:lang w:bidi="ar"/>
                <w14:textFill>
                  <w14:solidFill>
                    <w14:schemeClr w14:val="tx1"/>
                  </w14:solidFill>
                </w14:textFill>
              </w:rPr>
              <w:t xml:space="preserve">     </w:t>
            </w:r>
            <w:r>
              <w:rPr>
                <w:rStyle w:val="19"/>
                <w:rFonts w:hint="default"/>
                <w:color w:val="000000" w:themeColor="text1"/>
                <w:sz w:val="21"/>
                <w:szCs w:val="21"/>
                <w:highlight w:val="none"/>
                <w:lang w:bidi="ar"/>
                <w14:textFill>
                  <w14:solidFill>
                    <w14:schemeClr w14:val="tx1"/>
                  </w14:solidFill>
                </w14:textFill>
              </w:rPr>
              <w:t>计</w:t>
            </w:r>
          </w:p>
        </w:tc>
        <w:tc>
          <w:tcPr>
            <w:tcW w:w="1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31F7">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2800 </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C549">
            <w:pPr>
              <w:jc w:val="center"/>
              <w:rPr>
                <w:b/>
                <w:bCs/>
                <w:color w:val="000000" w:themeColor="text1"/>
                <w:szCs w:val="21"/>
                <w:highlight w:val="none"/>
                <w14:textFill>
                  <w14:solidFill>
                    <w14:schemeClr w14:val="tx1"/>
                  </w14:solidFill>
                </w14:textFill>
              </w:rPr>
            </w:pPr>
          </w:p>
        </w:tc>
      </w:tr>
    </w:tbl>
    <w:p w14:paraId="60997B5A">
      <w:pPr>
        <w:pStyle w:val="21"/>
        <w:spacing w:before="156" w:after="156"/>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六、验收要求及标准</w:t>
      </w:r>
    </w:p>
    <w:p w14:paraId="16BB335D">
      <w:pPr>
        <w:pStyle w:val="2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验收要求：本项目为服务类项目，</w:t>
      </w:r>
      <w:r>
        <w:rPr>
          <w:rFonts w:hint="eastAsia" w:ascii="仿宋" w:hAnsi="仿宋" w:eastAsia="仿宋" w:cs="仿宋"/>
          <w:color w:val="000000" w:themeColor="text1"/>
          <w:sz w:val="24"/>
          <w:szCs w:val="24"/>
          <w:highlight w:val="none"/>
          <w14:textFill>
            <w14:solidFill>
              <w14:schemeClr w14:val="tx1"/>
            </w14:solidFill>
          </w14:textFill>
        </w:rPr>
        <w:t>在满足基本要求的前提下，发挥自身优势，</w:t>
      </w:r>
      <w:r>
        <w:rPr>
          <w:rFonts w:hint="eastAsia" w:ascii="仿宋" w:hAnsi="仿宋" w:eastAsia="仿宋" w:cs="仿宋"/>
          <w:color w:val="000000" w:themeColor="text1"/>
          <w:sz w:val="24"/>
          <w:highlight w:val="none"/>
          <w14:textFill>
            <w14:solidFill>
              <w14:schemeClr w14:val="tx1"/>
            </w14:solidFill>
          </w14:textFill>
        </w:rPr>
        <w:t>由采购人根据项目需要决定是否进行组织验收，如需要可根据项目特点对服务期内的服务实施情况进行考核，结合考核情况和服务成果（服务成果最终以取得省政府用地批复</w:t>
      </w:r>
      <w:r>
        <w:rPr>
          <w:rFonts w:hint="eastAsia" w:ascii="仿宋" w:hAnsi="仿宋" w:eastAsia="仿宋" w:cs="仿宋"/>
          <w:color w:val="000000" w:themeColor="text1"/>
          <w:sz w:val="24"/>
          <w:szCs w:val="24"/>
          <w:highlight w:val="none"/>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为依据进行验收评价。）进行验收。</w:t>
      </w:r>
    </w:p>
    <w:p w14:paraId="60243958">
      <w:pPr>
        <w:pStyle w:val="22"/>
        <w:spacing w:line="360" w:lineRule="auto"/>
        <w:ind w:firstLine="480" w:firstLineChars="200"/>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验收标准：最终以取得省政府用地批复</w:t>
      </w:r>
      <w:r>
        <w:rPr>
          <w:rFonts w:hint="eastAsia" w:ascii="仿宋" w:hAnsi="仿宋" w:eastAsia="仿宋" w:cs="仿宋"/>
          <w:color w:val="000000" w:themeColor="text1"/>
          <w:sz w:val="24"/>
          <w:szCs w:val="24"/>
          <w:highlight w:val="none"/>
          <w14:textFill>
            <w14:solidFill>
              <w14:schemeClr w14:val="tx1"/>
            </w14:solidFill>
          </w14:textFill>
        </w:rPr>
        <w:t>文件为准。</w:t>
      </w:r>
    </w:p>
    <w:p w14:paraId="0C7BCA45">
      <w:pPr>
        <w:pStyle w:val="12"/>
        <w:spacing w:line="480" w:lineRule="exact"/>
        <w:ind w:firstLine="482"/>
        <w:jc w:val="left"/>
        <w:rPr>
          <w:rStyle w:val="13"/>
          <w:rFonts w:ascii="仿宋" w:hAnsi="仿宋" w:eastAsia="仿宋" w:cs="仿宋"/>
          <w:b/>
          <w:bCs/>
          <w:color w:val="000000" w:themeColor="text1"/>
          <w:sz w:val="24"/>
          <w:highlight w:val="none"/>
          <w14:textFill>
            <w14:solidFill>
              <w14:schemeClr w14:val="tx1"/>
            </w14:solidFill>
          </w14:textFill>
        </w:rPr>
      </w:pPr>
      <w:r>
        <w:rPr>
          <w:rStyle w:val="13"/>
          <w:rFonts w:hint="eastAsia" w:ascii="仿宋" w:hAnsi="仿宋" w:eastAsia="仿宋" w:cs="仿宋"/>
          <w:b/>
          <w:bCs/>
          <w:color w:val="000000" w:themeColor="text1"/>
          <w:sz w:val="24"/>
          <w:highlight w:val="none"/>
          <w14:textFill>
            <w14:solidFill>
              <w14:schemeClr w14:val="tx1"/>
            </w14:solidFill>
          </w14:textFill>
        </w:rPr>
        <w:t>七、知识产权</w:t>
      </w:r>
    </w:p>
    <w:p w14:paraId="60F8E32F">
      <w:pPr>
        <w:spacing w:before="120" w:after="120" w:line="360" w:lineRule="auto"/>
        <w:ind w:firstLine="240" w:firstLineChars="100"/>
        <w:rPr>
          <w:rFonts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1、招标人向中标人提供的全部资料及中标人生产的全部成果资料(包括中间资料)其版权归招标人所有,中标人不得自留使用或以任何方式转让或提供给第三方使用。</w:t>
      </w:r>
    </w:p>
    <w:p w14:paraId="5458CEF5">
      <w:pPr>
        <w:pStyle w:val="25"/>
        <w:widowControl/>
        <w:shd w:val="clear" w:color="auto" w:fill="FFFFFF"/>
        <w:spacing w:line="360" w:lineRule="auto"/>
        <w:ind w:firstLine="240" w:firstLineChars="1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 xml:space="preserve">2、乙方应保证甲方免除并承担由于甲方在其本国使用该项目时而引起第三方提出的侵犯专利权、知识产权或设计权的起诉、行动、行政程序索赔、请求等以及甲方为此而产生的损失和损害、费用和支出（包括律师费）。 </w:t>
      </w:r>
    </w:p>
    <w:p w14:paraId="1DFA0F43">
      <w:pPr>
        <w:pStyle w:val="26"/>
        <w:spacing w:line="360" w:lineRule="auto"/>
        <w:ind w:firstLine="482" w:firstLineChars="20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 xml:space="preserve">项目实施方案 </w:t>
      </w:r>
    </w:p>
    <w:p w14:paraId="30E376B9">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内容如下：</w:t>
      </w:r>
    </w:p>
    <w:p w14:paraId="77FFF8C3">
      <w:pPr>
        <w:numPr>
          <w:ilvl w:val="0"/>
          <w:numId w:val="1"/>
        </w:num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项目理解方案：针对</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w:t>
      </w:r>
      <w:r>
        <w:rPr>
          <w:rFonts w:hint="eastAsia" w:ascii="仿宋" w:hAnsi="仿宋" w:eastAsia="仿宋" w:cs="仿宋"/>
          <w:color w:val="000000" w:themeColor="text1"/>
          <w:sz w:val="24"/>
          <w:szCs w:val="24"/>
          <w:highlight w:val="none"/>
          <w14:textFill>
            <w14:solidFill>
              <w14:schemeClr w14:val="tx1"/>
            </w14:solidFill>
          </w14:textFill>
        </w:rPr>
        <w:t>的特点进行项目理解方案编制，内容应当包含对项目背景、项目范围、项目编制依据、项目编制原则、项目内容、项目成果要求等的总体理解，目标任务应当明确、思路清晰，内容应当切合泗洪当地实际情况，具有一定的深度，要全面、合理。</w:t>
      </w:r>
    </w:p>
    <w:p w14:paraId="61963878">
      <w:pPr>
        <w:numPr>
          <w:ilvl w:val="0"/>
          <w:numId w:val="1"/>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方案：根据本项目特征梳理本项目技术路线，形成完整的技术思路，技术方案主要内容应当至少包括：为项目用地预审与选址意见书、征地社会稳定风险评估、地质灾害危险性评估、节地评价报告、用地报批等相关技术思路方案内容，内容应当切合泗洪当地实际情况，要全面、合理，具有可行性。</w:t>
      </w:r>
    </w:p>
    <w:p w14:paraId="19097E56">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（3）项目进度安排：针对</w:t>
      </w:r>
      <w:r>
        <w:rPr>
          <w:rFonts w:hint="eastAsia" w:ascii="仿宋" w:hAnsi="仿宋" w:eastAsia="仿宋" w:cs="仿宋"/>
          <w:color w:val="000000" w:themeColor="text1"/>
          <w:sz w:val="24"/>
          <w:highlight w:val="none"/>
          <w14:textFill>
            <w14:solidFill>
              <w14:schemeClr w14:val="tx1"/>
            </w14:solidFill>
          </w14:textFill>
        </w:rPr>
        <w:t>泗洪县</w:t>
      </w:r>
      <w:r>
        <w:rPr>
          <w:rFonts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年重大项目征地报批技术服务</w:t>
      </w:r>
      <w:r>
        <w:rPr>
          <w:rFonts w:hint="eastAsia" w:ascii="仿宋" w:hAnsi="仿宋" w:eastAsia="仿宋" w:cs="仿宋"/>
          <w:color w:val="000000" w:themeColor="text1"/>
          <w:sz w:val="24"/>
          <w:szCs w:val="24"/>
          <w:highlight w:val="none"/>
          <w14:textFill>
            <w14:solidFill>
              <w14:schemeClr w14:val="tx1"/>
            </w14:solidFill>
          </w14:textFill>
        </w:rPr>
        <w:t>项目的进度计划安排进行编制方案，进度安排方案应当包括对项目完成期限（在响应磋商文件基础上的）的，项目进度安排、工序管理措施、遇到政策性时间问题的相关内容的表述，方案应当符合政策规定及切合当地实际情况，要全面、合理，具有可行性、服务保障体系齐全。</w:t>
      </w:r>
    </w:p>
    <w:p w14:paraId="5ADD2B5B">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（4）项目质量管理保障措施：针对</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w:t>
      </w:r>
      <w:r>
        <w:rPr>
          <w:rFonts w:hint="eastAsia" w:ascii="仿宋" w:hAnsi="仿宋" w:eastAsia="仿宋" w:cs="仿宋"/>
          <w:color w:val="000000" w:themeColor="text1"/>
          <w:sz w:val="24"/>
          <w:szCs w:val="24"/>
          <w:highlight w:val="none"/>
          <w14:textFill>
            <w14:solidFill>
              <w14:schemeClr w14:val="tx1"/>
            </w14:solidFill>
          </w14:textFill>
        </w:rPr>
        <w:t>项目成果顺利获取</w:t>
      </w:r>
      <w:r>
        <w:rPr>
          <w:rFonts w:hint="eastAsia" w:ascii="仿宋" w:hAnsi="仿宋" w:eastAsia="仿宋" w:cs="仿宋"/>
          <w:color w:val="000000" w:themeColor="text1"/>
          <w:sz w:val="24"/>
          <w:highlight w:val="none"/>
          <w14:textFill>
            <w14:solidFill>
              <w14:schemeClr w14:val="tx1"/>
            </w14:solidFill>
          </w14:textFill>
        </w:rPr>
        <w:t>省政府批复征地批文</w:t>
      </w:r>
      <w:r>
        <w:rPr>
          <w:rFonts w:hint="eastAsia" w:ascii="仿宋" w:hAnsi="仿宋" w:eastAsia="仿宋" w:cs="仿宋"/>
          <w:color w:val="000000" w:themeColor="text1"/>
          <w:sz w:val="24"/>
          <w:szCs w:val="24"/>
          <w:highlight w:val="none"/>
          <w14:textFill>
            <w14:solidFill>
              <w14:schemeClr w14:val="tx1"/>
            </w14:solidFill>
          </w14:textFill>
        </w:rPr>
        <w:t>所提供质量管理保障相应措施，措施方案应符合政策规定及切合当地实际情况，具有具体的保障措施手段充分保障项目质量并顺利取得项目成果，方案内容应当全面、细致、具体可行。</w:t>
      </w:r>
    </w:p>
    <w:p w14:paraId="2BB7CB52">
      <w:pPr>
        <w:spacing w:line="360" w:lineRule="auto"/>
        <w:ind w:firstLine="480" w:firstLineChars="200"/>
        <w:rPr>
          <w:rFonts w:eastAsia="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（5）服务保障措施：针对</w:t>
      </w:r>
      <w:r>
        <w:rPr>
          <w:rFonts w:hint="eastAsia" w:ascii="仿宋" w:hAnsi="仿宋" w:eastAsia="仿宋" w:cs="仿宋"/>
          <w:color w:val="000000" w:themeColor="text1"/>
          <w:sz w:val="24"/>
          <w:highlight w:val="none"/>
          <w14:textFill>
            <w14:solidFill>
              <w14:schemeClr w14:val="tx1"/>
            </w14:solidFill>
          </w14:textFill>
        </w:rPr>
        <w:t>泗洪县2025年重大项目征地报批技术服务项目</w:t>
      </w:r>
      <w:r>
        <w:rPr>
          <w:rFonts w:hint="eastAsia" w:ascii="仿宋" w:hAnsi="仿宋" w:eastAsia="仿宋" w:cs="仿宋"/>
          <w:color w:val="000000" w:themeColor="text1"/>
          <w:sz w:val="24"/>
          <w:szCs w:val="24"/>
          <w:highlight w:val="none"/>
          <w14:textFill>
            <w14:solidFill>
              <w14:schemeClr w14:val="tx1"/>
            </w14:solidFill>
          </w14:textFill>
        </w:rPr>
        <w:t>结束后对采购人提供的后续服务，后续服务方案应有利于采购人以及对本项目服务成果的完善，问题的响应时间处理（半小时内电话、微信技术支持、解决及咨询、若遇特殊情况需现场技术支持的，需积极支持配合）及解决办法，方案内容应完整详实、切实可行，有利于采购人实际工作。</w:t>
      </w:r>
    </w:p>
    <w:p w14:paraId="29C30879">
      <w:pPr>
        <w:spacing w:line="48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九、注意事项</w:t>
      </w:r>
    </w:p>
    <w:p w14:paraId="09478102">
      <w:pPr>
        <w:spacing w:line="48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1、报价内容包括:项目完成过程中的</w:t>
      </w:r>
      <w:r>
        <w:rPr>
          <w:rFonts w:hint="eastAsia" w:ascii="仿宋" w:hAnsi="仿宋" w:eastAsia="仿宋" w:cs="仿宋"/>
          <w:color w:val="000000" w:themeColor="text1"/>
          <w:kern w:val="2"/>
          <w:sz w:val="24"/>
          <w:highlight w:val="none"/>
          <w:lang w:val="zh-CN"/>
          <w14:textFill>
            <w14:solidFill>
              <w14:schemeClr w14:val="tx1"/>
            </w14:solidFill>
          </w14:textFill>
        </w:rPr>
        <w:t>服务本身价格、服务人员工资福利、服务技能培训、售后服务、利润</w:t>
      </w:r>
      <w:r>
        <w:rPr>
          <w:rFonts w:hint="eastAsia" w:ascii="仿宋" w:hAnsi="仿宋" w:eastAsia="仿宋" w:cs="仿宋"/>
          <w:color w:val="000000" w:themeColor="text1"/>
          <w:sz w:val="24"/>
          <w:highlight w:val="none"/>
          <w14:textFill>
            <w14:solidFill>
              <w14:schemeClr w14:val="tx1"/>
            </w14:solidFill>
          </w14:textFill>
        </w:rPr>
        <w:t>、资料费、会议费、交通费、税费以及</w:t>
      </w:r>
      <w:r>
        <w:rPr>
          <w:rFonts w:hint="eastAsia" w:ascii="仿宋" w:hAnsi="仿宋" w:eastAsia="仿宋" w:cs="仿宋"/>
          <w:color w:val="000000" w:themeColor="text1"/>
          <w:kern w:val="2"/>
          <w:sz w:val="24"/>
          <w:highlight w:val="none"/>
          <w:lang w:val="zh-CN"/>
          <w14:textFill>
            <w14:solidFill>
              <w14:schemeClr w14:val="tx1"/>
            </w14:solidFill>
          </w14:textFill>
        </w:rPr>
        <w:t>服务过程中涉及到的其他一切费用</w:t>
      </w:r>
      <w:r>
        <w:rPr>
          <w:rFonts w:hint="eastAsia" w:ascii="仿宋" w:hAnsi="仿宋" w:eastAsia="仿宋" w:cs="仿宋"/>
          <w:color w:val="000000" w:themeColor="text1"/>
          <w:sz w:val="24"/>
          <w:highlight w:val="none"/>
          <w14:textFill>
            <w14:solidFill>
              <w14:schemeClr w14:val="tx1"/>
            </w14:solidFill>
          </w14:textFill>
        </w:rPr>
        <w:t>。</w:t>
      </w:r>
    </w:p>
    <w:p w14:paraId="2876B4A0">
      <w:pPr>
        <w:pStyle w:val="27"/>
        <w:spacing w:line="480" w:lineRule="exact"/>
        <w:ind w:firstLine="480"/>
        <w:rPr>
          <w:rFonts w:ascii="仿宋" w:hAnsi="仿宋" w:eastAsia="仿宋" w:cs="仿宋"/>
          <w:bCs/>
          <w:color w:val="000000" w:themeColor="text1"/>
          <w:sz w:val="44"/>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2、报价注意事项：供应商报价时应充分考虑所有可能影响到报价的因素，一旦评标结束最终成交，总价将包定，不予调整。如发生漏、缺、少项，都将被认为是成交人的报价让利行为，损失自负。</w:t>
      </w:r>
    </w:p>
    <w:p w14:paraId="170CE666">
      <w:pPr>
        <w:keepNext/>
        <w:keepLines w:val="0"/>
        <w:pageBreakBefore w:val="0"/>
        <w:widowControl w:val="0"/>
        <w:ind w:firstLine="0"/>
        <w:jc w:val="both"/>
        <w:outlineLvl w:val="0"/>
        <w:rPr>
          <w:rFonts w:hint="eastAsia" w:ascii="仿宋" w:hAnsi="仿宋" w:eastAsia="仿宋" w:cs="仿宋"/>
          <w:bCs/>
          <w:color w:val="000000"/>
          <w:sz w:val="44"/>
          <w:szCs w:val="28"/>
          <w:lang w:val="en-US" w:eastAsia="zh-CN"/>
        </w:rPr>
      </w:pPr>
    </w:p>
    <w:p w14:paraId="3105CF43">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ECF69"/>
    <w:multiLevelType w:val="singleLevel"/>
    <w:tmpl w:val="1C6ECF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D0CEB"/>
    <w:rsid w:val="022F73A2"/>
    <w:rsid w:val="122D07E5"/>
    <w:rsid w:val="5A545013"/>
    <w:rsid w:val="5BED0CEB"/>
    <w:rsid w:val="704B3864"/>
    <w:rsid w:val="719C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hint="default" w:ascii="Calibri" w:hAnsi="Calibri" w:eastAsia="宋体" w:cs="Times New Roman"/>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ascii="Times New Roman" w:hAnsi="Times New Roman" w:eastAsia="楷体_GB2312" w:cs="Times New Roman"/>
      <w:sz w:val="24"/>
      <w:szCs w:val="20"/>
    </w:rPr>
  </w:style>
  <w:style w:type="paragraph" w:styleId="3">
    <w:name w:val="Body Text"/>
    <w:basedOn w:val="1"/>
    <w:next w:val="2"/>
    <w:qFormat/>
    <w:uiPriority w:val="0"/>
    <w:pPr>
      <w:spacing w:line="60" w:lineRule="auto"/>
    </w:pPr>
    <w:rPr>
      <w:rFonts w:ascii="仿宋_GB2312" w:eastAsia="仿宋_GB2312"/>
      <w:sz w:val="32"/>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正文首行缩进 21"/>
    <w:basedOn w:val="10"/>
    <w:next w:val="1"/>
    <w:qFormat/>
    <w:uiPriority w:val="0"/>
    <w:pPr>
      <w:spacing w:line="360" w:lineRule="auto"/>
      <w:ind w:firstLine="420"/>
    </w:pPr>
    <w:rPr>
      <w:rFonts w:ascii="宋体" w:hAnsi="宋体" w:eastAsia="宋体"/>
      <w:sz w:val="21"/>
      <w:szCs w:val="20"/>
    </w:rPr>
  </w:style>
  <w:style w:type="paragraph" w:customStyle="1" w:styleId="10">
    <w:name w:val="正文文本缩进1"/>
    <w:basedOn w:val="1"/>
    <w:next w:val="11"/>
    <w:qFormat/>
    <w:uiPriority w:val="0"/>
    <w:pPr>
      <w:ind w:firstLine="645"/>
    </w:pPr>
    <w:rPr>
      <w:rFonts w:ascii="楷体_GB2312" w:eastAsia="楷体_GB2312"/>
      <w:sz w:val="32"/>
      <w:szCs w:val="32"/>
    </w:rPr>
  </w:style>
  <w:style w:type="paragraph" w:customStyle="1" w:styleId="11">
    <w:name w:val="寄信人地址1"/>
    <w:basedOn w:val="1"/>
    <w:qFormat/>
    <w:uiPriority w:val="0"/>
    <w:rPr>
      <w:rFonts w:ascii="Arial" w:hAnsi="Arial"/>
    </w:rPr>
  </w:style>
  <w:style w:type="paragraph" w:customStyle="1" w:styleId="12">
    <w:name w:val="Normal_19"/>
    <w:qFormat/>
    <w:uiPriority w:val="0"/>
    <w:pPr>
      <w:widowControl w:val="0"/>
      <w:jc w:val="both"/>
    </w:pPr>
    <w:rPr>
      <w:rFonts w:hint="default" w:ascii="Calibri" w:hAnsi="Calibri" w:eastAsia="宋体" w:cs="Times New Roman"/>
      <w:sz w:val="21"/>
      <w:szCs w:val="24"/>
      <w:lang w:val="en-US" w:eastAsia="zh-CN" w:bidi="ar-SA"/>
    </w:rPr>
  </w:style>
  <w:style w:type="character" w:customStyle="1" w:styleId="13">
    <w:name w:val="默认段落字体1"/>
    <w:link w:val="1"/>
    <w:unhideWhenUsed/>
    <w:qFormat/>
    <w:uiPriority w:val="1"/>
    <w:rPr>
      <w:rFonts w:hint="default" w:ascii="Calibri" w:hAnsi="Calibri" w:eastAsia="宋体" w:cs="Times New Roman"/>
      <w:sz w:val="21"/>
      <w:szCs w:val="22"/>
      <w:lang w:val="en-US" w:eastAsia="zh-CN" w:bidi="ar-SA"/>
    </w:rPr>
  </w:style>
  <w:style w:type="character" w:customStyle="1" w:styleId="14">
    <w:name w:val="font91"/>
    <w:basedOn w:val="6"/>
    <w:qFormat/>
    <w:uiPriority w:val="0"/>
    <w:rPr>
      <w:rFonts w:hint="eastAsia" w:ascii="宋体" w:hAnsi="宋体" w:eastAsia="宋体" w:cs="宋体"/>
      <w:b/>
      <w:bCs/>
      <w:color w:val="000000"/>
      <w:sz w:val="44"/>
      <w:szCs w:val="44"/>
      <w:u w:val="none"/>
    </w:rPr>
  </w:style>
  <w:style w:type="character" w:customStyle="1" w:styleId="15">
    <w:name w:val="font21"/>
    <w:basedOn w:val="6"/>
    <w:qFormat/>
    <w:uiPriority w:val="0"/>
    <w:rPr>
      <w:rFonts w:hint="default" w:ascii="Times New Roman" w:hAnsi="Times New Roman" w:cs="Times New Roman"/>
      <w:b/>
      <w:bCs/>
      <w:color w:val="000000"/>
      <w:sz w:val="44"/>
      <w:szCs w:val="44"/>
      <w:u w:val="none"/>
    </w:rPr>
  </w:style>
  <w:style w:type="character" w:customStyle="1" w:styleId="16">
    <w:name w:val="font101"/>
    <w:basedOn w:val="6"/>
    <w:qFormat/>
    <w:uiPriority w:val="0"/>
    <w:rPr>
      <w:rFonts w:ascii="黑体" w:hAnsi="宋体" w:eastAsia="黑体" w:cs="黑体"/>
      <w:color w:val="000000"/>
      <w:sz w:val="28"/>
      <w:szCs w:val="28"/>
      <w:u w:val="none"/>
    </w:rPr>
  </w:style>
  <w:style w:type="character" w:customStyle="1" w:styleId="17">
    <w:name w:val="font111"/>
    <w:basedOn w:val="6"/>
    <w:qFormat/>
    <w:uiPriority w:val="0"/>
    <w:rPr>
      <w:rFonts w:hint="eastAsia" w:ascii="黑体" w:hAnsi="宋体" w:eastAsia="黑体" w:cs="黑体"/>
      <w:color w:val="000000"/>
      <w:sz w:val="28"/>
      <w:szCs w:val="28"/>
      <w:u w:val="none"/>
    </w:rPr>
  </w:style>
  <w:style w:type="character" w:customStyle="1" w:styleId="18">
    <w:name w:val="font121"/>
    <w:basedOn w:val="6"/>
    <w:qFormat/>
    <w:uiPriority w:val="0"/>
    <w:rPr>
      <w:rFonts w:ascii="仿宋" w:hAnsi="仿宋" w:eastAsia="仿宋" w:cs="仿宋"/>
      <w:color w:val="000000"/>
      <w:sz w:val="24"/>
      <w:szCs w:val="24"/>
      <w:u w:val="none"/>
    </w:rPr>
  </w:style>
  <w:style w:type="character" w:customStyle="1" w:styleId="19">
    <w:name w:val="font132"/>
    <w:basedOn w:val="6"/>
    <w:qFormat/>
    <w:uiPriority w:val="0"/>
    <w:rPr>
      <w:rFonts w:hint="eastAsia" w:ascii="仿宋" w:hAnsi="仿宋" w:eastAsia="仿宋" w:cs="仿宋"/>
      <w:b/>
      <w:bCs/>
      <w:color w:val="000000"/>
      <w:sz w:val="28"/>
      <w:szCs w:val="28"/>
      <w:u w:val="none"/>
    </w:rPr>
  </w:style>
  <w:style w:type="character" w:customStyle="1" w:styleId="20">
    <w:name w:val="font61"/>
    <w:basedOn w:val="6"/>
    <w:qFormat/>
    <w:uiPriority w:val="0"/>
    <w:rPr>
      <w:rFonts w:hint="default" w:ascii="Times New Roman" w:hAnsi="Times New Roman" w:cs="Times New Roman"/>
      <w:b/>
      <w:bCs/>
      <w:color w:val="000000"/>
      <w:sz w:val="28"/>
      <w:szCs w:val="28"/>
      <w:u w:val="none"/>
    </w:rPr>
  </w:style>
  <w:style w:type="paragraph" w:customStyle="1" w:styleId="21">
    <w:name w:val="正文1"/>
    <w:basedOn w:val="1"/>
    <w:next w:val="1"/>
    <w:qFormat/>
    <w:uiPriority w:val="0"/>
    <w:pPr>
      <w:widowControl/>
      <w:spacing w:line="300" w:lineRule="auto"/>
      <w:ind w:left="420"/>
    </w:pPr>
    <w:rPr>
      <w:rFonts w:ascii="等线" w:hAnsi="等线" w:eastAsia="等线"/>
    </w:rPr>
  </w:style>
  <w:style w:type="paragraph" w:customStyle="1" w:styleId="22">
    <w:name w:val="正文_16"/>
    <w:next w:val="23"/>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3">
    <w:name w:val="正文首行缩进 2_1"/>
    <w:basedOn w:val="24"/>
    <w:unhideWhenUsed/>
    <w:qFormat/>
    <w:uiPriority w:val="99"/>
    <w:pPr>
      <w:ind w:firstLine="420"/>
    </w:pPr>
    <w:rPr>
      <w:rFonts w:eastAsia="Times New Roman"/>
    </w:rPr>
  </w:style>
  <w:style w:type="paragraph" w:customStyle="1" w:styleId="24">
    <w:name w:val="正文文本缩进_1"/>
    <w:basedOn w:val="22"/>
    <w:unhideWhenUsed/>
    <w:qFormat/>
    <w:uiPriority w:val="99"/>
    <w:pPr>
      <w:spacing w:after="120"/>
      <w:ind w:left="420"/>
    </w:pPr>
  </w:style>
  <w:style w:type="paragraph" w:customStyle="1" w:styleId="25">
    <w:name w:val="Normal_14_0"/>
    <w:qFormat/>
    <w:uiPriority w:val="0"/>
    <w:pPr>
      <w:widowControl w:val="0"/>
      <w:jc w:val="both"/>
    </w:pPr>
    <w:rPr>
      <w:rFonts w:hint="default" w:ascii="Times New Roman" w:hAnsi="Times New Roman" w:eastAsia="Times New Roman" w:cs="Times New Roman"/>
      <w:lang w:bidi="ar-SA"/>
    </w:rPr>
  </w:style>
  <w:style w:type="paragraph" w:customStyle="1" w:styleId="26">
    <w:name w:val="正文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7">
    <w:name w:val="正文_2_0_0_0_0"/>
    <w:basedOn w:val="28"/>
    <w:qFormat/>
    <w:uiPriority w:val="0"/>
    <w:rPr>
      <w:rFonts w:ascii="Calibri" w:hAnsi="Calibri" w:eastAsia="Times New Roman" w:cs="Calibri"/>
      <w:szCs w:val="21"/>
    </w:rPr>
  </w:style>
  <w:style w:type="paragraph" w:customStyle="1" w:styleId="28">
    <w:name w:val="正文_2_0_0"/>
    <w:next w:val="2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
    <w:name w:val="页脚_0_0"/>
    <w:basedOn w:val="28"/>
    <w:next w:val="28"/>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3600</Words>
  <Characters>3724</Characters>
  <Lines>0</Lines>
  <Paragraphs>0</Paragraphs>
  <TotalTime>0</TotalTime>
  <ScaleCrop>false</ScaleCrop>
  <LinksUpToDate>false</LinksUpToDate>
  <CharactersWithSpaces>3764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2025-06-03T03:20:00Z</dcterms:created>
  <dc:creator>走路草</dc:creator>
  <cp:lastModifiedBy>走路草</cp:lastModifiedBy>
  <dcterms:modified xsi:type="dcterms:W3CDTF">2025-08-04T07:20:32Z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3F5033EB200F4CA88A70F79AEDEEE225_11</vt:lpwstr>
  </property>
  <property fmtid="{D5CDD505-2E9C-101B-9397-08002B2CF9AE}" pid="4" name="KSOTemplateDocerSaveRecord">
    <vt:lpwstr>eyJoZGlkIjoiNmQ2ZTYzMjY2NDY4Y2U4MzE5YzkzODg3MjQzYTA5N2EiLCJ1c2VySWQiOiIyNDI4Mjg3MTAifQ==</vt:lpwstr>
  </property>
</Properties>
</file>